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1FE" w:rsidRPr="008F0B26" w:rsidRDefault="008F0B26" w:rsidP="00F27F95">
      <w:pPr>
        <w:spacing w:after="0"/>
        <w:jc w:val="center"/>
        <w:rPr>
          <w:rFonts w:ascii="Times New Roman" w:eastAsia="Times New Roman" w:hAnsi="Times New Roman" w:cs="Times New Roman"/>
          <w:b/>
          <w:sz w:val="28"/>
          <w:szCs w:val="24"/>
          <w:u w:val="single"/>
          <w:lang w:eastAsia="ru-RU"/>
        </w:rPr>
      </w:pPr>
      <w:r w:rsidRPr="008F0B26">
        <w:rPr>
          <w:rFonts w:ascii="Times New Roman" w:eastAsia="Times New Roman" w:hAnsi="Times New Roman" w:cs="Times New Roman"/>
          <w:b/>
          <w:sz w:val="28"/>
          <w:szCs w:val="24"/>
          <w:u w:val="single"/>
          <w:lang w:eastAsia="ru-RU"/>
        </w:rPr>
        <w:t>ПРОКУРАТУРА РАЗЪЯСНЯЕТ:</w:t>
      </w:r>
    </w:p>
    <w:p w:rsidR="00F60437" w:rsidRPr="00556949" w:rsidRDefault="00C25324" w:rsidP="00556949">
      <w:pPr>
        <w:spacing w:after="0"/>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ПРОВЕРКА ТЕХНИЧЕСКОГО СОСТОЯНИЯ ИНТЕЛЛЕКТУАЛЬНЫХ ПРИБОРОВ УЧЕТА ЭЛЕКТРОЭНЕРГИИ: ОСНОВАНИЯ, СРОКИ, ПОРЯДОК</w:t>
      </w:r>
    </w:p>
    <w:p w:rsidR="00EF10E4" w:rsidRPr="00EF10E4" w:rsidRDefault="00EF10E4" w:rsidP="00EF10E4">
      <w:pPr>
        <w:pStyle w:val="a5"/>
        <w:spacing w:before="0" w:beforeAutospacing="0" w:after="0" w:afterAutospacing="0" w:line="288" w:lineRule="atLeast"/>
        <w:jc w:val="center"/>
      </w:pPr>
    </w:p>
    <w:p w:rsidR="00C25324" w:rsidRDefault="00C25324" w:rsidP="00C25324">
      <w:pPr>
        <w:pStyle w:val="a5"/>
        <w:spacing w:before="0" w:beforeAutospacing="0" w:after="0" w:afterAutospacing="0" w:line="288" w:lineRule="atLeast"/>
        <w:ind w:firstLine="540"/>
        <w:jc w:val="both"/>
      </w:pPr>
      <w:r w:rsidRPr="00C25324">
        <w:t xml:space="preserve">С 01.01.2022 допуску в эксплуатацию подлежат приборы учета электрической энергии, соответствующие Правилам предоставления доступа к минимальному набору функций интеллектуальных систем учета электрической энергии (мощности), с учетом </w:t>
      </w:r>
      <w:proofErr w:type="spellStart"/>
      <w:r w:rsidRPr="00C25324">
        <w:t>абз</w:t>
      </w:r>
      <w:proofErr w:type="spellEnd"/>
      <w:r w:rsidRPr="00C25324">
        <w:t>. 2 п. 80(1) Правил</w:t>
      </w:r>
      <w:r>
        <w:t xml:space="preserve"> </w:t>
      </w:r>
      <w:r w:rsidRPr="00C25324">
        <w:t>предоставления коммунальных услуг собственникам и пользователям помещений в многоквартирных домах и жилых домов</w:t>
      </w:r>
      <w:r>
        <w:t xml:space="preserve">, утвержденных </w:t>
      </w:r>
      <w:r w:rsidRPr="00C25324">
        <w:t>Постановление</w:t>
      </w:r>
      <w:r>
        <w:t>м</w:t>
      </w:r>
      <w:r w:rsidRPr="00C25324">
        <w:t xml:space="preserve"> Правительства РФ от 06.05.2011</w:t>
      </w:r>
      <w:r>
        <w:t xml:space="preserve"> №</w:t>
      </w:r>
      <w:r w:rsidRPr="00C25324">
        <w:t xml:space="preserve"> 354 (п. 80), </w:t>
      </w:r>
      <w:r>
        <w:t>так называемые</w:t>
      </w:r>
      <w:r w:rsidRPr="00C25324">
        <w:t xml:space="preserve"> интеллектуальные приборы учета электрической энергии.</w:t>
      </w:r>
    </w:p>
    <w:p w:rsidR="009F0430" w:rsidRPr="009F0430" w:rsidRDefault="009F0430" w:rsidP="009F0430">
      <w:pPr>
        <w:pStyle w:val="a5"/>
        <w:spacing w:before="0" w:beforeAutospacing="0" w:after="0" w:afterAutospacing="0" w:line="288" w:lineRule="atLeast"/>
        <w:ind w:firstLine="540"/>
        <w:jc w:val="both"/>
      </w:pPr>
      <w:r w:rsidRPr="009F0430">
        <w:t>Замена приборов учета осуществляется сетевыми организациями</w:t>
      </w:r>
      <w:r>
        <w:t xml:space="preserve"> (для территории Иркутского района это АО «ИЭСК», ОГУЭП «</w:t>
      </w:r>
      <w:proofErr w:type="spellStart"/>
      <w:r>
        <w:t>Облкоммунэнерго</w:t>
      </w:r>
      <w:proofErr w:type="spellEnd"/>
      <w:r>
        <w:t>» и иные)</w:t>
      </w:r>
      <w:r w:rsidRPr="009F0430">
        <w:t xml:space="preserve"> в порядке, предусмотренном Основными положениями функционирования розничных рынков электрической энергии, утв. Постановлением Правительства РФ от 04.05.2012 </w:t>
      </w:r>
      <w:r>
        <w:t>№</w:t>
      </w:r>
      <w:r w:rsidRPr="009F0430">
        <w:t xml:space="preserve"> 442 (далее - Основные положения).</w:t>
      </w:r>
    </w:p>
    <w:p w:rsidR="009F0430" w:rsidRDefault="009F0430" w:rsidP="009F0430">
      <w:pPr>
        <w:pStyle w:val="a5"/>
        <w:spacing w:before="0" w:beforeAutospacing="0" w:after="0" w:afterAutospacing="0" w:line="288" w:lineRule="atLeast"/>
        <w:ind w:firstLine="540"/>
        <w:jc w:val="both"/>
      </w:pPr>
      <w:r w:rsidRPr="009F0430">
        <w:t xml:space="preserve">В соответствии с </w:t>
      </w:r>
      <w:proofErr w:type="spellStart"/>
      <w:r w:rsidRPr="009F0430">
        <w:t>абз</w:t>
      </w:r>
      <w:proofErr w:type="spellEnd"/>
      <w:r w:rsidRPr="009F0430">
        <w:t xml:space="preserve">. 1 п. 136 Основных положений сетевые организации обеспечивают замену, допуск в эксплуатацию приборов учета электрической энергии при выходе их из строя, утрате, истечении срока эксплуатации или истечении интервала между поверками приборов учета электрической энергии, в том числе не принадлежащих сетевой организации (гарантирующему поставщику). </w:t>
      </w:r>
    </w:p>
    <w:p w:rsidR="009F0430" w:rsidRPr="009F0430" w:rsidRDefault="009F0430" w:rsidP="009F0430">
      <w:pPr>
        <w:pStyle w:val="a5"/>
        <w:spacing w:before="0" w:beforeAutospacing="0" w:after="0" w:afterAutospacing="0" w:line="288" w:lineRule="atLeast"/>
        <w:ind w:firstLine="540"/>
        <w:jc w:val="both"/>
      </w:pPr>
      <w:r w:rsidRPr="009F0430">
        <w:t xml:space="preserve">Согласно </w:t>
      </w:r>
      <w:proofErr w:type="spellStart"/>
      <w:r w:rsidRPr="009F0430">
        <w:t>абз</w:t>
      </w:r>
      <w:proofErr w:type="spellEnd"/>
      <w:r w:rsidRPr="009F0430">
        <w:t>. 12 п. 136 Основных положений под заменой прибора учета понимаются работы по демонтажу ранее установленного прибора учета, который используется для обеспечения коммерческого учета электрической энергии (мощности) и работы по установке прибора учета.</w:t>
      </w:r>
    </w:p>
    <w:p w:rsidR="009F0430" w:rsidRPr="009F0430" w:rsidRDefault="009F0430" w:rsidP="009F0430">
      <w:pPr>
        <w:pStyle w:val="a5"/>
        <w:spacing w:before="0" w:beforeAutospacing="0" w:after="0" w:afterAutospacing="0" w:line="288" w:lineRule="atLeast"/>
        <w:ind w:firstLine="540"/>
        <w:jc w:val="both"/>
      </w:pPr>
      <w:r w:rsidRPr="009F0430">
        <w:t>Сетевые организации вправе за отдельную плату осуществлять замену приборов учета до истечения их срока поверки или эксплуатации в случаях, не связанных с утратой, выходом из строя или неисправностью прибора учета, при обращении потребителя, производителя электрической энергии (мощности) на розничном рынке (</w:t>
      </w:r>
      <w:proofErr w:type="spellStart"/>
      <w:r w:rsidRPr="009F0430">
        <w:t>абз</w:t>
      </w:r>
      <w:proofErr w:type="spellEnd"/>
      <w:r w:rsidRPr="009F0430">
        <w:t xml:space="preserve">. 15 п. 136 Основных положений). </w:t>
      </w:r>
    </w:p>
    <w:p w:rsidR="009F0430" w:rsidRPr="009F0430" w:rsidRDefault="009F0430" w:rsidP="009F0430">
      <w:pPr>
        <w:pStyle w:val="a5"/>
        <w:spacing w:before="0" w:beforeAutospacing="0" w:after="0" w:afterAutospacing="0" w:line="288" w:lineRule="atLeast"/>
        <w:ind w:firstLine="540"/>
        <w:jc w:val="both"/>
      </w:pPr>
      <w:r w:rsidRPr="009F0430">
        <w:t>Замена прибора учета электрической энергии и допуск его к эксплуатации должны быть осуществлены не позднее 6 месяцев с даты выявления истечения срока эксплуатации, неисправности прибора учета в ходе проведения его проверки либо с даты признания прибора учета утраченным. Исключение составляют случаи, когда прибор учета отсутствовал или вышел из строя, истек срок его эксплуатации по состоянию на 01.04.2022 или ранее - в таких случаях установка прибора учета и допуск его к эксплуатации должны быть осуществлены до 31.12.2023 (</w:t>
      </w:r>
      <w:proofErr w:type="spellStart"/>
      <w:r w:rsidRPr="009F0430">
        <w:t>абз</w:t>
      </w:r>
      <w:proofErr w:type="spellEnd"/>
      <w:r w:rsidRPr="009F0430">
        <w:t>. 2, 5, 6 п. 151 Основных положений).</w:t>
      </w:r>
    </w:p>
    <w:p w:rsidR="009F0430" w:rsidRPr="009F0430" w:rsidRDefault="009F0430" w:rsidP="009F0430">
      <w:pPr>
        <w:pStyle w:val="a5"/>
        <w:spacing w:before="0" w:beforeAutospacing="0" w:after="0" w:afterAutospacing="0" w:line="288" w:lineRule="atLeast"/>
        <w:ind w:firstLine="540"/>
        <w:jc w:val="both"/>
      </w:pPr>
      <w:r w:rsidRPr="009F0430">
        <w:t>Сетевая организация, имеющая намерение заменить прибор учета электрической энергии, направляет запрос (способом, позволяющим подтвердить факт его получения) на замену в адрес гарантирующего поставщика и собственника (владельца) энергопринимающих устройств, в отношении которых планируется замена прибора учета (</w:t>
      </w:r>
      <w:proofErr w:type="spellStart"/>
      <w:r w:rsidRPr="009F0430">
        <w:t>абз</w:t>
      </w:r>
      <w:proofErr w:type="spellEnd"/>
      <w:r w:rsidRPr="009F0430">
        <w:t xml:space="preserve">. 19 - 21 п. 151 Основных положений). </w:t>
      </w:r>
    </w:p>
    <w:p w:rsidR="009F0430" w:rsidRPr="009F0430" w:rsidRDefault="009F0430" w:rsidP="009F0430">
      <w:pPr>
        <w:pStyle w:val="a5"/>
        <w:spacing w:before="0" w:beforeAutospacing="0" w:after="0" w:afterAutospacing="0" w:line="288" w:lineRule="atLeast"/>
        <w:ind w:firstLine="540"/>
        <w:jc w:val="both"/>
      </w:pPr>
      <w:r w:rsidRPr="009F0430">
        <w:t xml:space="preserve">Используемые поверенные приборы учета, не соответствующие установленным требованиям, могут быть использованы вплоть до истечения срока эксплуатации либо до выхода таких приборов учета из строя или их утраты (п. 141 Основных положений). </w:t>
      </w:r>
    </w:p>
    <w:p w:rsidR="00C25324" w:rsidRDefault="009F0430" w:rsidP="00856B51">
      <w:pPr>
        <w:pStyle w:val="a5"/>
        <w:spacing w:before="0" w:beforeAutospacing="0" w:after="0" w:afterAutospacing="0" w:line="288" w:lineRule="atLeast"/>
        <w:ind w:firstLine="540"/>
        <w:jc w:val="both"/>
      </w:pPr>
      <w:r>
        <w:t xml:space="preserve">Таким образом, ответственность за замену интеллектуального прибора учета несет сетевая организация, в зоне ответственности которой он установлен, при этом замена производится безвозмездно для потребителя лишь по основаниям, установленным законом: </w:t>
      </w:r>
      <w:r w:rsidRPr="009F0430">
        <w:t>при выходе их из строя, утрате, истечении срока эксплуатации или истечении интервала между поверками приборов учета</w:t>
      </w:r>
      <w:r>
        <w:t xml:space="preserve">. Правилами допускаются случае, когда возможна </w:t>
      </w:r>
      <w:r>
        <w:lastRenderedPageBreak/>
        <w:t xml:space="preserve">возмездная замена прибора учета: </w:t>
      </w:r>
      <w:r w:rsidRPr="009F0430">
        <w:t>до истечения их срока поверки или эксплуатации в случаях, не связанных с утратой, выходом из строя или неисправностью прибора учета, при обращении потребителя</w:t>
      </w:r>
      <w:r w:rsidR="00856B51">
        <w:t>.</w:t>
      </w:r>
      <w:bookmarkStart w:id="0" w:name="_GoBack"/>
      <w:bookmarkEnd w:id="0"/>
    </w:p>
    <w:sectPr w:rsidR="00C25324" w:rsidSect="00565AD7">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706FC"/>
    <w:multiLevelType w:val="hybridMultilevel"/>
    <w:tmpl w:val="F4668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89"/>
    <w:rsid w:val="00006912"/>
    <w:rsid w:val="000C247A"/>
    <w:rsid w:val="00115FB7"/>
    <w:rsid w:val="00161DB5"/>
    <w:rsid w:val="0018114E"/>
    <w:rsid w:val="001869EC"/>
    <w:rsid w:val="001942CB"/>
    <w:rsid w:val="001B3E36"/>
    <w:rsid w:val="001C7EBB"/>
    <w:rsid w:val="00244E1C"/>
    <w:rsid w:val="00254D37"/>
    <w:rsid w:val="002647A8"/>
    <w:rsid w:val="00273042"/>
    <w:rsid w:val="0029468F"/>
    <w:rsid w:val="002E1E30"/>
    <w:rsid w:val="00303649"/>
    <w:rsid w:val="00350AB5"/>
    <w:rsid w:val="003620C7"/>
    <w:rsid w:val="00362CA8"/>
    <w:rsid w:val="003A096B"/>
    <w:rsid w:val="003B4F08"/>
    <w:rsid w:val="003D3F35"/>
    <w:rsid w:val="003E5596"/>
    <w:rsid w:val="004129ED"/>
    <w:rsid w:val="00436B29"/>
    <w:rsid w:val="0045143A"/>
    <w:rsid w:val="00473E95"/>
    <w:rsid w:val="00477A5E"/>
    <w:rsid w:val="004A4E41"/>
    <w:rsid w:val="004C450E"/>
    <w:rsid w:val="004C65B9"/>
    <w:rsid w:val="00526887"/>
    <w:rsid w:val="00556949"/>
    <w:rsid w:val="00565AD7"/>
    <w:rsid w:val="005A34F0"/>
    <w:rsid w:val="00704669"/>
    <w:rsid w:val="00722D98"/>
    <w:rsid w:val="00724897"/>
    <w:rsid w:val="007363C1"/>
    <w:rsid w:val="00742844"/>
    <w:rsid w:val="007A3830"/>
    <w:rsid w:val="007B4DBC"/>
    <w:rsid w:val="007D1EDC"/>
    <w:rsid w:val="007D2EBD"/>
    <w:rsid w:val="007E3965"/>
    <w:rsid w:val="00800119"/>
    <w:rsid w:val="00800D7C"/>
    <w:rsid w:val="00811A62"/>
    <w:rsid w:val="00856B51"/>
    <w:rsid w:val="0087698E"/>
    <w:rsid w:val="008D5EAB"/>
    <w:rsid w:val="008F0B26"/>
    <w:rsid w:val="009044A0"/>
    <w:rsid w:val="009243C7"/>
    <w:rsid w:val="009273D8"/>
    <w:rsid w:val="00973D4C"/>
    <w:rsid w:val="0097774C"/>
    <w:rsid w:val="00994BF8"/>
    <w:rsid w:val="009A5896"/>
    <w:rsid w:val="009F0430"/>
    <w:rsid w:val="00A0446D"/>
    <w:rsid w:val="00A049E4"/>
    <w:rsid w:val="00A31691"/>
    <w:rsid w:val="00A4370C"/>
    <w:rsid w:val="00A53C3A"/>
    <w:rsid w:val="00AB68CA"/>
    <w:rsid w:val="00B01409"/>
    <w:rsid w:val="00B22362"/>
    <w:rsid w:val="00B84C64"/>
    <w:rsid w:val="00BA61FE"/>
    <w:rsid w:val="00BB19E8"/>
    <w:rsid w:val="00BB2441"/>
    <w:rsid w:val="00BC2E89"/>
    <w:rsid w:val="00BD64CD"/>
    <w:rsid w:val="00C038D9"/>
    <w:rsid w:val="00C23595"/>
    <w:rsid w:val="00C25324"/>
    <w:rsid w:val="00C27049"/>
    <w:rsid w:val="00C76B3A"/>
    <w:rsid w:val="00C90665"/>
    <w:rsid w:val="00C96BF1"/>
    <w:rsid w:val="00CA7CC4"/>
    <w:rsid w:val="00CB66DC"/>
    <w:rsid w:val="00CC25F8"/>
    <w:rsid w:val="00CC68FA"/>
    <w:rsid w:val="00CD7610"/>
    <w:rsid w:val="00D041EB"/>
    <w:rsid w:val="00D32874"/>
    <w:rsid w:val="00DA395C"/>
    <w:rsid w:val="00DD7B43"/>
    <w:rsid w:val="00E33EE2"/>
    <w:rsid w:val="00E42980"/>
    <w:rsid w:val="00E4530B"/>
    <w:rsid w:val="00E62117"/>
    <w:rsid w:val="00E71DA9"/>
    <w:rsid w:val="00E866BB"/>
    <w:rsid w:val="00EC65DB"/>
    <w:rsid w:val="00EE1A48"/>
    <w:rsid w:val="00EF10E4"/>
    <w:rsid w:val="00F237B3"/>
    <w:rsid w:val="00F27F95"/>
    <w:rsid w:val="00F31B1B"/>
    <w:rsid w:val="00F46BE7"/>
    <w:rsid w:val="00F54094"/>
    <w:rsid w:val="00F60437"/>
    <w:rsid w:val="00FB4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07BF"/>
  <w15:chartTrackingRefBased/>
  <w15:docId w15:val="{087A511A-FB75-4230-9132-770EBBDF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6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5DB"/>
    <w:pPr>
      <w:ind w:left="720"/>
      <w:contextualSpacing/>
    </w:pPr>
  </w:style>
  <w:style w:type="table" w:styleId="a4">
    <w:name w:val="Table Grid"/>
    <w:basedOn w:val="a1"/>
    <w:uiPriority w:val="39"/>
    <w:rsid w:val="00EC6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1"/>
    <w:rsid w:val="003A096B"/>
    <w:rPr>
      <w:rFonts w:ascii="Times New Roman" w:hAnsi="Times New Roman"/>
      <w:sz w:val="26"/>
      <w:szCs w:val="26"/>
      <w:shd w:val="clear" w:color="auto" w:fill="FFFFFF"/>
    </w:rPr>
  </w:style>
  <w:style w:type="paragraph" w:customStyle="1" w:styleId="1">
    <w:name w:val="Основной текст1"/>
    <w:basedOn w:val="a"/>
    <w:link w:val="Bodytext"/>
    <w:rsid w:val="003A096B"/>
    <w:pPr>
      <w:shd w:val="clear" w:color="auto" w:fill="FFFFFF"/>
      <w:spacing w:after="0" w:line="304" w:lineRule="exact"/>
      <w:jc w:val="both"/>
    </w:pPr>
    <w:rPr>
      <w:rFonts w:ascii="Times New Roman" w:hAnsi="Times New Roman"/>
      <w:sz w:val="26"/>
      <w:szCs w:val="26"/>
    </w:rPr>
  </w:style>
  <w:style w:type="paragraph" w:styleId="a5">
    <w:name w:val="Normal (Web)"/>
    <w:basedOn w:val="a"/>
    <w:uiPriority w:val="99"/>
    <w:unhideWhenUsed/>
    <w:rsid w:val="008F0B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68109">
      <w:bodyDiv w:val="1"/>
      <w:marLeft w:val="0"/>
      <w:marRight w:val="0"/>
      <w:marTop w:val="0"/>
      <w:marBottom w:val="0"/>
      <w:divBdr>
        <w:top w:val="none" w:sz="0" w:space="0" w:color="auto"/>
        <w:left w:val="none" w:sz="0" w:space="0" w:color="auto"/>
        <w:bottom w:val="none" w:sz="0" w:space="0" w:color="auto"/>
        <w:right w:val="none" w:sz="0" w:space="0" w:color="auto"/>
      </w:divBdr>
    </w:div>
    <w:div w:id="210457794">
      <w:bodyDiv w:val="1"/>
      <w:marLeft w:val="0"/>
      <w:marRight w:val="0"/>
      <w:marTop w:val="0"/>
      <w:marBottom w:val="0"/>
      <w:divBdr>
        <w:top w:val="none" w:sz="0" w:space="0" w:color="auto"/>
        <w:left w:val="none" w:sz="0" w:space="0" w:color="auto"/>
        <w:bottom w:val="none" w:sz="0" w:space="0" w:color="auto"/>
        <w:right w:val="none" w:sz="0" w:space="0" w:color="auto"/>
      </w:divBdr>
    </w:div>
    <w:div w:id="218591090">
      <w:bodyDiv w:val="1"/>
      <w:marLeft w:val="0"/>
      <w:marRight w:val="0"/>
      <w:marTop w:val="0"/>
      <w:marBottom w:val="0"/>
      <w:divBdr>
        <w:top w:val="none" w:sz="0" w:space="0" w:color="auto"/>
        <w:left w:val="none" w:sz="0" w:space="0" w:color="auto"/>
        <w:bottom w:val="none" w:sz="0" w:space="0" w:color="auto"/>
        <w:right w:val="none" w:sz="0" w:space="0" w:color="auto"/>
      </w:divBdr>
    </w:div>
    <w:div w:id="268197114">
      <w:bodyDiv w:val="1"/>
      <w:marLeft w:val="0"/>
      <w:marRight w:val="0"/>
      <w:marTop w:val="0"/>
      <w:marBottom w:val="0"/>
      <w:divBdr>
        <w:top w:val="none" w:sz="0" w:space="0" w:color="auto"/>
        <w:left w:val="none" w:sz="0" w:space="0" w:color="auto"/>
        <w:bottom w:val="none" w:sz="0" w:space="0" w:color="auto"/>
        <w:right w:val="none" w:sz="0" w:space="0" w:color="auto"/>
      </w:divBdr>
    </w:div>
    <w:div w:id="289437030">
      <w:bodyDiv w:val="1"/>
      <w:marLeft w:val="0"/>
      <w:marRight w:val="0"/>
      <w:marTop w:val="0"/>
      <w:marBottom w:val="0"/>
      <w:divBdr>
        <w:top w:val="none" w:sz="0" w:space="0" w:color="auto"/>
        <w:left w:val="none" w:sz="0" w:space="0" w:color="auto"/>
        <w:bottom w:val="none" w:sz="0" w:space="0" w:color="auto"/>
        <w:right w:val="none" w:sz="0" w:space="0" w:color="auto"/>
      </w:divBdr>
    </w:div>
    <w:div w:id="307519435">
      <w:bodyDiv w:val="1"/>
      <w:marLeft w:val="0"/>
      <w:marRight w:val="0"/>
      <w:marTop w:val="0"/>
      <w:marBottom w:val="0"/>
      <w:divBdr>
        <w:top w:val="none" w:sz="0" w:space="0" w:color="auto"/>
        <w:left w:val="none" w:sz="0" w:space="0" w:color="auto"/>
        <w:bottom w:val="none" w:sz="0" w:space="0" w:color="auto"/>
        <w:right w:val="none" w:sz="0" w:space="0" w:color="auto"/>
      </w:divBdr>
    </w:div>
    <w:div w:id="313066685">
      <w:bodyDiv w:val="1"/>
      <w:marLeft w:val="0"/>
      <w:marRight w:val="0"/>
      <w:marTop w:val="0"/>
      <w:marBottom w:val="0"/>
      <w:divBdr>
        <w:top w:val="none" w:sz="0" w:space="0" w:color="auto"/>
        <w:left w:val="none" w:sz="0" w:space="0" w:color="auto"/>
        <w:bottom w:val="none" w:sz="0" w:space="0" w:color="auto"/>
        <w:right w:val="none" w:sz="0" w:space="0" w:color="auto"/>
      </w:divBdr>
    </w:div>
    <w:div w:id="346562702">
      <w:bodyDiv w:val="1"/>
      <w:marLeft w:val="0"/>
      <w:marRight w:val="0"/>
      <w:marTop w:val="0"/>
      <w:marBottom w:val="0"/>
      <w:divBdr>
        <w:top w:val="none" w:sz="0" w:space="0" w:color="auto"/>
        <w:left w:val="none" w:sz="0" w:space="0" w:color="auto"/>
        <w:bottom w:val="none" w:sz="0" w:space="0" w:color="auto"/>
        <w:right w:val="none" w:sz="0" w:space="0" w:color="auto"/>
      </w:divBdr>
    </w:div>
    <w:div w:id="347172162">
      <w:bodyDiv w:val="1"/>
      <w:marLeft w:val="0"/>
      <w:marRight w:val="0"/>
      <w:marTop w:val="0"/>
      <w:marBottom w:val="0"/>
      <w:divBdr>
        <w:top w:val="none" w:sz="0" w:space="0" w:color="auto"/>
        <w:left w:val="none" w:sz="0" w:space="0" w:color="auto"/>
        <w:bottom w:val="none" w:sz="0" w:space="0" w:color="auto"/>
        <w:right w:val="none" w:sz="0" w:space="0" w:color="auto"/>
      </w:divBdr>
    </w:div>
    <w:div w:id="389808305">
      <w:bodyDiv w:val="1"/>
      <w:marLeft w:val="0"/>
      <w:marRight w:val="0"/>
      <w:marTop w:val="0"/>
      <w:marBottom w:val="0"/>
      <w:divBdr>
        <w:top w:val="none" w:sz="0" w:space="0" w:color="auto"/>
        <w:left w:val="none" w:sz="0" w:space="0" w:color="auto"/>
        <w:bottom w:val="none" w:sz="0" w:space="0" w:color="auto"/>
        <w:right w:val="none" w:sz="0" w:space="0" w:color="auto"/>
      </w:divBdr>
    </w:div>
    <w:div w:id="472673424">
      <w:bodyDiv w:val="1"/>
      <w:marLeft w:val="0"/>
      <w:marRight w:val="0"/>
      <w:marTop w:val="0"/>
      <w:marBottom w:val="0"/>
      <w:divBdr>
        <w:top w:val="none" w:sz="0" w:space="0" w:color="auto"/>
        <w:left w:val="none" w:sz="0" w:space="0" w:color="auto"/>
        <w:bottom w:val="none" w:sz="0" w:space="0" w:color="auto"/>
        <w:right w:val="none" w:sz="0" w:space="0" w:color="auto"/>
      </w:divBdr>
    </w:div>
    <w:div w:id="563489571">
      <w:bodyDiv w:val="1"/>
      <w:marLeft w:val="0"/>
      <w:marRight w:val="0"/>
      <w:marTop w:val="0"/>
      <w:marBottom w:val="0"/>
      <w:divBdr>
        <w:top w:val="none" w:sz="0" w:space="0" w:color="auto"/>
        <w:left w:val="none" w:sz="0" w:space="0" w:color="auto"/>
        <w:bottom w:val="none" w:sz="0" w:space="0" w:color="auto"/>
        <w:right w:val="none" w:sz="0" w:space="0" w:color="auto"/>
      </w:divBdr>
    </w:div>
    <w:div w:id="729184492">
      <w:bodyDiv w:val="1"/>
      <w:marLeft w:val="0"/>
      <w:marRight w:val="0"/>
      <w:marTop w:val="0"/>
      <w:marBottom w:val="0"/>
      <w:divBdr>
        <w:top w:val="none" w:sz="0" w:space="0" w:color="auto"/>
        <w:left w:val="none" w:sz="0" w:space="0" w:color="auto"/>
        <w:bottom w:val="none" w:sz="0" w:space="0" w:color="auto"/>
        <w:right w:val="none" w:sz="0" w:space="0" w:color="auto"/>
      </w:divBdr>
    </w:div>
    <w:div w:id="767773863">
      <w:bodyDiv w:val="1"/>
      <w:marLeft w:val="0"/>
      <w:marRight w:val="0"/>
      <w:marTop w:val="0"/>
      <w:marBottom w:val="0"/>
      <w:divBdr>
        <w:top w:val="none" w:sz="0" w:space="0" w:color="auto"/>
        <w:left w:val="none" w:sz="0" w:space="0" w:color="auto"/>
        <w:bottom w:val="none" w:sz="0" w:space="0" w:color="auto"/>
        <w:right w:val="none" w:sz="0" w:space="0" w:color="auto"/>
      </w:divBdr>
    </w:div>
    <w:div w:id="797337085">
      <w:bodyDiv w:val="1"/>
      <w:marLeft w:val="0"/>
      <w:marRight w:val="0"/>
      <w:marTop w:val="0"/>
      <w:marBottom w:val="0"/>
      <w:divBdr>
        <w:top w:val="none" w:sz="0" w:space="0" w:color="auto"/>
        <w:left w:val="none" w:sz="0" w:space="0" w:color="auto"/>
        <w:bottom w:val="none" w:sz="0" w:space="0" w:color="auto"/>
        <w:right w:val="none" w:sz="0" w:space="0" w:color="auto"/>
      </w:divBdr>
    </w:div>
    <w:div w:id="820577529">
      <w:bodyDiv w:val="1"/>
      <w:marLeft w:val="0"/>
      <w:marRight w:val="0"/>
      <w:marTop w:val="0"/>
      <w:marBottom w:val="0"/>
      <w:divBdr>
        <w:top w:val="none" w:sz="0" w:space="0" w:color="auto"/>
        <w:left w:val="none" w:sz="0" w:space="0" w:color="auto"/>
        <w:bottom w:val="none" w:sz="0" w:space="0" w:color="auto"/>
        <w:right w:val="none" w:sz="0" w:space="0" w:color="auto"/>
      </w:divBdr>
    </w:div>
    <w:div w:id="846332058">
      <w:bodyDiv w:val="1"/>
      <w:marLeft w:val="0"/>
      <w:marRight w:val="0"/>
      <w:marTop w:val="0"/>
      <w:marBottom w:val="0"/>
      <w:divBdr>
        <w:top w:val="none" w:sz="0" w:space="0" w:color="auto"/>
        <w:left w:val="none" w:sz="0" w:space="0" w:color="auto"/>
        <w:bottom w:val="none" w:sz="0" w:space="0" w:color="auto"/>
        <w:right w:val="none" w:sz="0" w:space="0" w:color="auto"/>
      </w:divBdr>
    </w:div>
    <w:div w:id="1050808921">
      <w:bodyDiv w:val="1"/>
      <w:marLeft w:val="0"/>
      <w:marRight w:val="0"/>
      <w:marTop w:val="0"/>
      <w:marBottom w:val="0"/>
      <w:divBdr>
        <w:top w:val="none" w:sz="0" w:space="0" w:color="auto"/>
        <w:left w:val="none" w:sz="0" w:space="0" w:color="auto"/>
        <w:bottom w:val="none" w:sz="0" w:space="0" w:color="auto"/>
        <w:right w:val="none" w:sz="0" w:space="0" w:color="auto"/>
      </w:divBdr>
    </w:div>
    <w:div w:id="1078282717">
      <w:bodyDiv w:val="1"/>
      <w:marLeft w:val="0"/>
      <w:marRight w:val="0"/>
      <w:marTop w:val="0"/>
      <w:marBottom w:val="0"/>
      <w:divBdr>
        <w:top w:val="none" w:sz="0" w:space="0" w:color="auto"/>
        <w:left w:val="none" w:sz="0" w:space="0" w:color="auto"/>
        <w:bottom w:val="none" w:sz="0" w:space="0" w:color="auto"/>
        <w:right w:val="none" w:sz="0" w:space="0" w:color="auto"/>
      </w:divBdr>
    </w:div>
    <w:div w:id="1151288292">
      <w:bodyDiv w:val="1"/>
      <w:marLeft w:val="0"/>
      <w:marRight w:val="0"/>
      <w:marTop w:val="0"/>
      <w:marBottom w:val="0"/>
      <w:divBdr>
        <w:top w:val="none" w:sz="0" w:space="0" w:color="auto"/>
        <w:left w:val="none" w:sz="0" w:space="0" w:color="auto"/>
        <w:bottom w:val="none" w:sz="0" w:space="0" w:color="auto"/>
        <w:right w:val="none" w:sz="0" w:space="0" w:color="auto"/>
      </w:divBdr>
    </w:div>
    <w:div w:id="1261723604">
      <w:bodyDiv w:val="1"/>
      <w:marLeft w:val="0"/>
      <w:marRight w:val="0"/>
      <w:marTop w:val="0"/>
      <w:marBottom w:val="0"/>
      <w:divBdr>
        <w:top w:val="none" w:sz="0" w:space="0" w:color="auto"/>
        <w:left w:val="none" w:sz="0" w:space="0" w:color="auto"/>
        <w:bottom w:val="none" w:sz="0" w:space="0" w:color="auto"/>
        <w:right w:val="none" w:sz="0" w:space="0" w:color="auto"/>
      </w:divBdr>
    </w:div>
    <w:div w:id="1264654277">
      <w:bodyDiv w:val="1"/>
      <w:marLeft w:val="0"/>
      <w:marRight w:val="0"/>
      <w:marTop w:val="0"/>
      <w:marBottom w:val="0"/>
      <w:divBdr>
        <w:top w:val="none" w:sz="0" w:space="0" w:color="auto"/>
        <w:left w:val="none" w:sz="0" w:space="0" w:color="auto"/>
        <w:bottom w:val="none" w:sz="0" w:space="0" w:color="auto"/>
        <w:right w:val="none" w:sz="0" w:space="0" w:color="auto"/>
      </w:divBdr>
    </w:div>
    <w:div w:id="1286039737">
      <w:bodyDiv w:val="1"/>
      <w:marLeft w:val="0"/>
      <w:marRight w:val="0"/>
      <w:marTop w:val="0"/>
      <w:marBottom w:val="0"/>
      <w:divBdr>
        <w:top w:val="none" w:sz="0" w:space="0" w:color="auto"/>
        <w:left w:val="none" w:sz="0" w:space="0" w:color="auto"/>
        <w:bottom w:val="none" w:sz="0" w:space="0" w:color="auto"/>
        <w:right w:val="none" w:sz="0" w:space="0" w:color="auto"/>
      </w:divBdr>
    </w:div>
    <w:div w:id="1403217941">
      <w:bodyDiv w:val="1"/>
      <w:marLeft w:val="0"/>
      <w:marRight w:val="0"/>
      <w:marTop w:val="0"/>
      <w:marBottom w:val="0"/>
      <w:divBdr>
        <w:top w:val="none" w:sz="0" w:space="0" w:color="auto"/>
        <w:left w:val="none" w:sz="0" w:space="0" w:color="auto"/>
        <w:bottom w:val="none" w:sz="0" w:space="0" w:color="auto"/>
        <w:right w:val="none" w:sz="0" w:space="0" w:color="auto"/>
      </w:divBdr>
    </w:div>
    <w:div w:id="1433352192">
      <w:bodyDiv w:val="1"/>
      <w:marLeft w:val="0"/>
      <w:marRight w:val="0"/>
      <w:marTop w:val="0"/>
      <w:marBottom w:val="0"/>
      <w:divBdr>
        <w:top w:val="none" w:sz="0" w:space="0" w:color="auto"/>
        <w:left w:val="none" w:sz="0" w:space="0" w:color="auto"/>
        <w:bottom w:val="none" w:sz="0" w:space="0" w:color="auto"/>
        <w:right w:val="none" w:sz="0" w:space="0" w:color="auto"/>
      </w:divBdr>
    </w:div>
    <w:div w:id="1494831873">
      <w:bodyDiv w:val="1"/>
      <w:marLeft w:val="0"/>
      <w:marRight w:val="0"/>
      <w:marTop w:val="0"/>
      <w:marBottom w:val="0"/>
      <w:divBdr>
        <w:top w:val="none" w:sz="0" w:space="0" w:color="auto"/>
        <w:left w:val="none" w:sz="0" w:space="0" w:color="auto"/>
        <w:bottom w:val="none" w:sz="0" w:space="0" w:color="auto"/>
        <w:right w:val="none" w:sz="0" w:space="0" w:color="auto"/>
      </w:divBdr>
    </w:div>
    <w:div w:id="1582789253">
      <w:bodyDiv w:val="1"/>
      <w:marLeft w:val="0"/>
      <w:marRight w:val="0"/>
      <w:marTop w:val="0"/>
      <w:marBottom w:val="0"/>
      <w:divBdr>
        <w:top w:val="none" w:sz="0" w:space="0" w:color="auto"/>
        <w:left w:val="none" w:sz="0" w:space="0" w:color="auto"/>
        <w:bottom w:val="none" w:sz="0" w:space="0" w:color="auto"/>
        <w:right w:val="none" w:sz="0" w:space="0" w:color="auto"/>
      </w:divBdr>
    </w:div>
    <w:div w:id="1649242818">
      <w:bodyDiv w:val="1"/>
      <w:marLeft w:val="0"/>
      <w:marRight w:val="0"/>
      <w:marTop w:val="0"/>
      <w:marBottom w:val="0"/>
      <w:divBdr>
        <w:top w:val="none" w:sz="0" w:space="0" w:color="auto"/>
        <w:left w:val="none" w:sz="0" w:space="0" w:color="auto"/>
        <w:bottom w:val="none" w:sz="0" w:space="0" w:color="auto"/>
        <w:right w:val="none" w:sz="0" w:space="0" w:color="auto"/>
      </w:divBdr>
    </w:div>
    <w:div w:id="1684042580">
      <w:bodyDiv w:val="1"/>
      <w:marLeft w:val="0"/>
      <w:marRight w:val="0"/>
      <w:marTop w:val="0"/>
      <w:marBottom w:val="0"/>
      <w:divBdr>
        <w:top w:val="none" w:sz="0" w:space="0" w:color="auto"/>
        <w:left w:val="none" w:sz="0" w:space="0" w:color="auto"/>
        <w:bottom w:val="none" w:sz="0" w:space="0" w:color="auto"/>
        <w:right w:val="none" w:sz="0" w:space="0" w:color="auto"/>
      </w:divBdr>
    </w:div>
    <w:div w:id="1747147532">
      <w:bodyDiv w:val="1"/>
      <w:marLeft w:val="0"/>
      <w:marRight w:val="0"/>
      <w:marTop w:val="0"/>
      <w:marBottom w:val="0"/>
      <w:divBdr>
        <w:top w:val="none" w:sz="0" w:space="0" w:color="auto"/>
        <w:left w:val="none" w:sz="0" w:space="0" w:color="auto"/>
        <w:bottom w:val="none" w:sz="0" w:space="0" w:color="auto"/>
        <w:right w:val="none" w:sz="0" w:space="0" w:color="auto"/>
      </w:divBdr>
    </w:div>
    <w:div w:id="1778866870">
      <w:bodyDiv w:val="1"/>
      <w:marLeft w:val="0"/>
      <w:marRight w:val="0"/>
      <w:marTop w:val="0"/>
      <w:marBottom w:val="0"/>
      <w:divBdr>
        <w:top w:val="none" w:sz="0" w:space="0" w:color="auto"/>
        <w:left w:val="none" w:sz="0" w:space="0" w:color="auto"/>
        <w:bottom w:val="none" w:sz="0" w:space="0" w:color="auto"/>
        <w:right w:val="none" w:sz="0" w:space="0" w:color="auto"/>
      </w:divBdr>
    </w:div>
    <w:div w:id="1800607059">
      <w:bodyDiv w:val="1"/>
      <w:marLeft w:val="0"/>
      <w:marRight w:val="0"/>
      <w:marTop w:val="0"/>
      <w:marBottom w:val="0"/>
      <w:divBdr>
        <w:top w:val="none" w:sz="0" w:space="0" w:color="auto"/>
        <w:left w:val="none" w:sz="0" w:space="0" w:color="auto"/>
        <w:bottom w:val="none" w:sz="0" w:space="0" w:color="auto"/>
        <w:right w:val="none" w:sz="0" w:space="0" w:color="auto"/>
      </w:divBdr>
    </w:div>
    <w:div w:id="1804735094">
      <w:bodyDiv w:val="1"/>
      <w:marLeft w:val="0"/>
      <w:marRight w:val="0"/>
      <w:marTop w:val="0"/>
      <w:marBottom w:val="0"/>
      <w:divBdr>
        <w:top w:val="none" w:sz="0" w:space="0" w:color="auto"/>
        <w:left w:val="none" w:sz="0" w:space="0" w:color="auto"/>
        <w:bottom w:val="none" w:sz="0" w:space="0" w:color="auto"/>
        <w:right w:val="none" w:sz="0" w:space="0" w:color="auto"/>
      </w:divBdr>
    </w:div>
    <w:div w:id="1831755256">
      <w:bodyDiv w:val="1"/>
      <w:marLeft w:val="0"/>
      <w:marRight w:val="0"/>
      <w:marTop w:val="0"/>
      <w:marBottom w:val="0"/>
      <w:divBdr>
        <w:top w:val="none" w:sz="0" w:space="0" w:color="auto"/>
        <w:left w:val="none" w:sz="0" w:space="0" w:color="auto"/>
        <w:bottom w:val="none" w:sz="0" w:space="0" w:color="auto"/>
        <w:right w:val="none" w:sz="0" w:space="0" w:color="auto"/>
      </w:divBdr>
    </w:div>
    <w:div w:id="1942684327">
      <w:bodyDiv w:val="1"/>
      <w:marLeft w:val="0"/>
      <w:marRight w:val="0"/>
      <w:marTop w:val="0"/>
      <w:marBottom w:val="0"/>
      <w:divBdr>
        <w:top w:val="none" w:sz="0" w:space="0" w:color="auto"/>
        <w:left w:val="none" w:sz="0" w:space="0" w:color="auto"/>
        <w:bottom w:val="none" w:sz="0" w:space="0" w:color="auto"/>
        <w:right w:val="none" w:sz="0" w:space="0" w:color="auto"/>
      </w:divBdr>
    </w:div>
    <w:div w:id="1980720307">
      <w:bodyDiv w:val="1"/>
      <w:marLeft w:val="0"/>
      <w:marRight w:val="0"/>
      <w:marTop w:val="0"/>
      <w:marBottom w:val="0"/>
      <w:divBdr>
        <w:top w:val="none" w:sz="0" w:space="0" w:color="auto"/>
        <w:left w:val="none" w:sz="0" w:space="0" w:color="auto"/>
        <w:bottom w:val="none" w:sz="0" w:space="0" w:color="auto"/>
        <w:right w:val="none" w:sz="0" w:space="0" w:color="auto"/>
      </w:divBdr>
    </w:div>
    <w:div w:id="2073310214">
      <w:bodyDiv w:val="1"/>
      <w:marLeft w:val="0"/>
      <w:marRight w:val="0"/>
      <w:marTop w:val="0"/>
      <w:marBottom w:val="0"/>
      <w:divBdr>
        <w:top w:val="none" w:sz="0" w:space="0" w:color="auto"/>
        <w:left w:val="none" w:sz="0" w:space="0" w:color="auto"/>
        <w:bottom w:val="none" w:sz="0" w:space="0" w:color="auto"/>
        <w:right w:val="none" w:sz="0" w:space="0" w:color="auto"/>
      </w:divBdr>
    </w:div>
    <w:div w:id="209265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1854</TotalTime>
  <Pages>2</Pages>
  <Words>554</Words>
  <Characters>3160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Зарицкий Олег Павлович</dc:creator>
  <cp:keywords/>
  <dc:description/>
  <cp:lastModifiedBy>Зарицкий Олег Павлович</cp:lastModifiedBy>
  <cp:revision>84</cp:revision>
  <dcterms:created xsi:type="dcterms:W3CDTF">2022-03-22T09:00:00Z</dcterms:created>
  <dcterms:modified xsi:type="dcterms:W3CDTF">2025-05-29T08:04:00Z</dcterms:modified>
</cp:coreProperties>
</file>