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7545F" w:rsidRDefault="0047545F" w:rsidP="0047545F">
      <w:pPr>
        <w:autoSpaceDE w:val="0"/>
        <w:autoSpaceDN w:val="0"/>
        <w:adjustRightInd w:val="0"/>
        <w:spacing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МИНИСТЕРСТВО ТРУДА И СОЦИАЛЬНОЙ ЗАЩИТЫ РОССИЙСКОЙ ФЕДЕРАЦИИ</w:t>
      </w:r>
    </w:p>
    <w:p w:rsidR="0047545F" w:rsidRDefault="0047545F" w:rsidP="0047545F">
      <w:pPr>
        <w:autoSpaceDE w:val="0"/>
        <w:autoSpaceDN w:val="0"/>
        <w:adjustRightInd w:val="0"/>
        <w:spacing w:line="240" w:lineRule="auto"/>
        <w:jc w:val="center"/>
        <w:rPr>
          <w:rFonts w:ascii="Arial" w:hAnsi="Arial" w:cs="Arial"/>
          <w:sz w:val="20"/>
          <w:szCs w:val="20"/>
        </w:rPr>
      </w:pPr>
    </w:p>
    <w:p w:rsidR="0047545F" w:rsidRDefault="0047545F" w:rsidP="0047545F">
      <w:pPr>
        <w:autoSpaceDE w:val="0"/>
        <w:autoSpaceDN w:val="0"/>
        <w:adjustRightInd w:val="0"/>
        <w:spacing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ИНФОРМАЦИЯ</w:t>
      </w:r>
    </w:p>
    <w:p w:rsidR="0047545F" w:rsidRDefault="0047545F" w:rsidP="0047545F">
      <w:pPr>
        <w:autoSpaceDE w:val="0"/>
        <w:autoSpaceDN w:val="0"/>
        <w:adjustRightInd w:val="0"/>
        <w:spacing w:line="240" w:lineRule="auto"/>
        <w:jc w:val="center"/>
        <w:rPr>
          <w:rFonts w:ascii="Arial" w:hAnsi="Arial" w:cs="Arial"/>
          <w:sz w:val="20"/>
          <w:szCs w:val="20"/>
        </w:rPr>
      </w:pPr>
    </w:p>
    <w:p w:rsidR="0047545F" w:rsidRDefault="0047545F" w:rsidP="0047545F">
      <w:pPr>
        <w:autoSpaceDE w:val="0"/>
        <w:autoSpaceDN w:val="0"/>
        <w:adjustRightInd w:val="0"/>
        <w:spacing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ОСНОВНЫЕ НОВЕЛЛЫ</w:t>
      </w:r>
    </w:p>
    <w:p w:rsidR="0047545F" w:rsidRDefault="0047545F" w:rsidP="0047545F">
      <w:pPr>
        <w:autoSpaceDE w:val="0"/>
        <w:autoSpaceDN w:val="0"/>
        <w:adjustRightInd w:val="0"/>
        <w:spacing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В МЕТОДИЧЕСКИХ РЕКОМЕНДАЦИЯХ ПО ВОПРОСАМ ПРЕДСТАВЛЕНИЯ</w:t>
      </w:r>
    </w:p>
    <w:p w:rsidR="0047545F" w:rsidRDefault="0047545F" w:rsidP="0047545F">
      <w:pPr>
        <w:autoSpaceDE w:val="0"/>
        <w:autoSpaceDN w:val="0"/>
        <w:adjustRightInd w:val="0"/>
        <w:spacing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СВЕДЕНИЙ О ДОХОДАХ, РАСХОДАХ, ОБ ИМУЩЕСТВЕ И ОБЯЗАТЕЛЬСТВАХ</w:t>
      </w:r>
    </w:p>
    <w:p w:rsidR="0047545F" w:rsidRDefault="0047545F" w:rsidP="0047545F">
      <w:pPr>
        <w:autoSpaceDE w:val="0"/>
        <w:autoSpaceDN w:val="0"/>
        <w:adjustRightInd w:val="0"/>
        <w:spacing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ИМУЩЕСТВЕННОГО ХАРАКТЕРА И ЗАПОЛНЕНИЯ СООТВЕТСТВУЮЩЕЙ ФОРМЫ</w:t>
      </w:r>
    </w:p>
    <w:p w:rsidR="0047545F" w:rsidRDefault="0047545F" w:rsidP="0047545F">
      <w:pPr>
        <w:autoSpaceDE w:val="0"/>
        <w:autoSpaceDN w:val="0"/>
        <w:adjustRightInd w:val="0"/>
        <w:spacing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СПРАВКИ В 2022 ГОДУ (ЗА ОТЧЕТНЫЙ 2021 ГОД)</w:t>
      </w:r>
    </w:p>
    <w:p w:rsidR="0047545F" w:rsidRDefault="0047545F" w:rsidP="0047545F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47545F" w:rsidRDefault="0047545F" w:rsidP="0047545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В течение последних лет является устоявшейся практика подготовки Министерством труда и социальной защиты Российской Федерации ежегодно обновляемых Методических </w:t>
      </w:r>
      <w:hyperlink r:id="rId4" w:history="1">
        <w:r>
          <w:rPr>
            <w:rFonts w:ascii="Arial" w:hAnsi="Arial" w:cs="Arial"/>
            <w:color w:val="0000FF"/>
            <w:sz w:val="20"/>
            <w:szCs w:val="20"/>
          </w:rPr>
          <w:t>рекомендаций</w:t>
        </w:r>
      </w:hyperlink>
      <w:r>
        <w:rPr>
          <w:rFonts w:ascii="Arial" w:hAnsi="Arial" w:cs="Arial"/>
          <w:sz w:val="20"/>
          <w:szCs w:val="20"/>
        </w:rPr>
        <w:t xml:space="preserve"> по вопросам представления сведений о доходах, расходах, об имуществе и обязательствах имущественного характера и заполнения соответствующей формы справки (далее - Методические рекомендации, сведения соответственно), направления их в заинтересованные государственные органы и организации, а также размещения на официальном сайте Минтруда России.</w:t>
      </w:r>
    </w:p>
    <w:p w:rsidR="0047545F" w:rsidRDefault="0047545F" w:rsidP="0047545F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Методические </w:t>
      </w:r>
      <w:hyperlink r:id="rId5" w:history="1">
        <w:r>
          <w:rPr>
            <w:rFonts w:ascii="Arial" w:hAnsi="Arial" w:cs="Arial"/>
            <w:color w:val="0000FF"/>
            <w:sz w:val="20"/>
            <w:szCs w:val="20"/>
          </w:rPr>
          <w:t>рекомендации</w:t>
        </w:r>
      </w:hyperlink>
      <w:r>
        <w:rPr>
          <w:rFonts w:ascii="Arial" w:hAnsi="Arial" w:cs="Arial"/>
          <w:sz w:val="20"/>
          <w:szCs w:val="20"/>
        </w:rPr>
        <w:t xml:space="preserve"> для применения в ходе декларационной кампании 2022 года (за отчетный 2021 год) подготовлены Министерством при участии Администрации Президента Российской Федерации, Центрального банка Российской Федерации, Генеральной прокуратуры Российской Федерации и иных заинтересованных федеральных государственных органов.</w:t>
      </w:r>
    </w:p>
    <w:p w:rsidR="0047545F" w:rsidRDefault="0047545F" w:rsidP="0047545F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В ходе использования в работе указанных Методических </w:t>
      </w:r>
      <w:hyperlink r:id="rId6" w:history="1">
        <w:r>
          <w:rPr>
            <w:rFonts w:ascii="Arial" w:hAnsi="Arial" w:cs="Arial"/>
            <w:color w:val="0000FF"/>
            <w:sz w:val="20"/>
            <w:szCs w:val="20"/>
          </w:rPr>
          <w:t>рекомендаций</w:t>
        </w:r>
      </w:hyperlink>
      <w:r>
        <w:rPr>
          <w:rFonts w:ascii="Arial" w:hAnsi="Arial" w:cs="Arial"/>
          <w:sz w:val="20"/>
          <w:szCs w:val="20"/>
        </w:rPr>
        <w:t xml:space="preserve"> предлагаем обратить внимание на следующее.</w:t>
      </w:r>
    </w:p>
    <w:p w:rsidR="0047545F" w:rsidRDefault="0047545F" w:rsidP="0047545F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1. В Методических </w:t>
      </w:r>
      <w:hyperlink r:id="rId7" w:history="1">
        <w:r>
          <w:rPr>
            <w:rFonts w:ascii="Arial" w:hAnsi="Arial" w:cs="Arial"/>
            <w:color w:val="0000FF"/>
            <w:sz w:val="20"/>
            <w:szCs w:val="20"/>
          </w:rPr>
          <w:t>рекомендациях</w:t>
        </w:r>
      </w:hyperlink>
      <w:r>
        <w:rPr>
          <w:rFonts w:ascii="Arial" w:hAnsi="Arial" w:cs="Arial"/>
          <w:sz w:val="20"/>
          <w:szCs w:val="20"/>
        </w:rPr>
        <w:t xml:space="preserve"> подчеркнуто, что отдельные особенности представления сведений могут быть установлены нормативными правовыми актами субъектов Российской Федерации с учетом предоставленных полномочий.</w:t>
      </w:r>
    </w:p>
    <w:p w:rsidR="0047545F" w:rsidRDefault="0047545F" w:rsidP="0047545F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2. В </w:t>
      </w:r>
      <w:hyperlink r:id="rId8" w:history="1">
        <w:r>
          <w:rPr>
            <w:rFonts w:ascii="Arial" w:hAnsi="Arial" w:cs="Arial"/>
            <w:color w:val="0000FF"/>
            <w:sz w:val="20"/>
            <w:szCs w:val="20"/>
          </w:rPr>
          <w:t>пункте 13</w:t>
        </w:r>
      </w:hyperlink>
      <w:r>
        <w:rPr>
          <w:rFonts w:ascii="Arial" w:hAnsi="Arial" w:cs="Arial"/>
          <w:sz w:val="20"/>
          <w:szCs w:val="20"/>
        </w:rPr>
        <w:t xml:space="preserve"> Методических рекомендаций отмечено, что перевод на государственной гражданской службе Российской Федерации предполагает увольнение и, как следствие, необходимость представления сведений в качестве кандидата.</w:t>
      </w:r>
    </w:p>
    <w:p w:rsidR="0047545F" w:rsidRDefault="0047545F" w:rsidP="0047545F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3. Ошибочное (неточное) указание сведений вследствие ошибок и неточностей, допущенных органом публичной власти или организацией в выданных официальных документах (выписках), на основании которых представляются сведения, не влечет применение взыскания. В этой связи в Методических </w:t>
      </w:r>
      <w:hyperlink r:id="rId9" w:history="1">
        <w:r>
          <w:rPr>
            <w:rFonts w:ascii="Arial" w:hAnsi="Arial" w:cs="Arial"/>
            <w:color w:val="0000FF"/>
            <w:sz w:val="20"/>
            <w:szCs w:val="20"/>
          </w:rPr>
          <w:t>рекомендациях</w:t>
        </w:r>
      </w:hyperlink>
      <w:r>
        <w:rPr>
          <w:rFonts w:ascii="Arial" w:hAnsi="Arial" w:cs="Arial"/>
          <w:sz w:val="20"/>
          <w:szCs w:val="20"/>
        </w:rPr>
        <w:t xml:space="preserve"> отмечена целесообразность представления сведений на основании официальных документов, например, на основании полученной информации из единой </w:t>
      </w:r>
      <w:hyperlink r:id="rId10" w:history="1">
        <w:r>
          <w:rPr>
            <w:rFonts w:ascii="Arial" w:hAnsi="Arial" w:cs="Arial"/>
            <w:color w:val="0000FF"/>
            <w:sz w:val="20"/>
            <w:szCs w:val="20"/>
          </w:rPr>
          <w:t>формы</w:t>
        </w:r>
      </w:hyperlink>
      <w:r>
        <w:rPr>
          <w:rFonts w:ascii="Arial" w:hAnsi="Arial" w:cs="Arial"/>
          <w:sz w:val="20"/>
          <w:szCs w:val="20"/>
        </w:rPr>
        <w:t xml:space="preserve">, установленной Указанием Банка России от 27 мая 2021 г. N 5798-У "О порядке предоставления кредитными организациями и </w:t>
      </w:r>
      <w:proofErr w:type="spellStart"/>
      <w:r>
        <w:rPr>
          <w:rFonts w:ascii="Arial" w:hAnsi="Arial" w:cs="Arial"/>
          <w:sz w:val="20"/>
          <w:szCs w:val="20"/>
        </w:rPr>
        <w:t>некредитными</w:t>
      </w:r>
      <w:proofErr w:type="spellEnd"/>
      <w:r>
        <w:rPr>
          <w:rFonts w:ascii="Arial" w:hAnsi="Arial" w:cs="Arial"/>
          <w:sz w:val="20"/>
          <w:szCs w:val="20"/>
        </w:rPr>
        <w:t xml:space="preserve"> финансовыми организациями гражданам сведений о наличии счетов и иной информации, необходимой для представления гражданами сведений о доходах, расходах, об имуществе и обязательствах имущественного характера, о единой форме предоставления сведений и порядке ее заполнения".</w:t>
      </w:r>
    </w:p>
    <w:p w:rsidR="0047545F" w:rsidRDefault="0047545F" w:rsidP="0047545F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4. Актуализирован перечень выплат, которые могут быть признаны доходом для целей законодательства Российской Федерации о противодействии коррупции.</w:t>
      </w:r>
    </w:p>
    <w:p w:rsidR="0047545F" w:rsidRDefault="0047545F" w:rsidP="0047545F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5. Указан порядок отражения социальной поддержки молодежи в возрасте от 14 до 22 лет для повышения доступности организаций культуры (т.н. "Пушкинская карта").</w:t>
      </w:r>
    </w:p>
    <w:p w:rsidR="0047545F" w:rsidRDefault="0047545F" w:rsidP="0047545F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6. В Методических </w:t>
      </w:r>
      <w:hyperlink r:id="rId11" w:history="1">
        <w:r>
          <w:rPr>
            <w:rFonts w:ascii="Arial" w:hAnsi="Arial" w:cs="Arial"/>
            <w:color w:val="0000FF"/>
            <w:sz w:val="20"/>
            <w:szCs w:val="20"/>
          </w:rPr>
          <w:t>рекомендациях</w:t>
        </w:r>
      </w:hyperlink>
      <w:r>
        <w:rPr>
          <w:rFonts w:ascii="Arial" w:hAnsi="Arial" w:cs="Arial"/>
          <w:sz w:val="20"/>
          <w:szCs w:val="20"/>
        </w:rPr>
        <w:t xml:space="preserve"> учтены изменения, предусмотренные </w:t>
      </w:r>
      <w:hyperlink r:id="rId12" w:history="1">
        <w:r>
          <w:rPr>
            <w:rFonts w:ascii="Arial" w:hAnsi="Arial" w:cs="Arial"/>
            <w:color w:val="0000FF"/>
            <w:sz w:val="20"/>
            <w:szCs w:val="20"/>
          </w:rPr>
          <w:t>Указом</w:t>
        </w:r>
      </w:hyperlink>
      <w:r>
        <w:rPr>
          <w:rFonts w:ascii="Arial" w:hAnsi="Arial" w:cs="Arial"/>
          <w:sz w:val="20"/>
          <w:szCs w:val="20"/>
        </w:rPr>
        <w:t xml:space="preserve"> Президента Российской Федерации от 10 декабря 2020 г. N 778 "О мерах по реализации отдельных положений </w:t>
      </w:r>
      <w:r>
        <w:rPr>
          <w:rFonts w:ascii="Arial" w:hAnsi="Arial" w:cs="Arial"/>
          <w:sz w:val="20"/>
          <w:szCs w:val="20"/>
        </w:rPr>
        <w:lastRenderedPageBreak/>
        <w:t>Федерального закона "О цифровых финансовых активах, цифровой валюте и о внесении изменений в отдельные законодательные акты Российской Федерации".</w:t>
      </w:r>
    </w:p>
    <w:p w:rsidR="0047545F" w:rsidRDefault="0047545F" w:rsidP="0047545F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7. Определены особенности представления информации в случае приобретение недвижимого имущества посредством участия в долевом строительстве с использованием счетов </w:t>
      </w:r>
      <w:proofErr w:type="spellStart"/>
      <w:r>
        <w:rPr>
          <w:rFonts w:ascii="Arial" w:hAnsi="Arial" w:cs="Arial"/>
          <w:sz w:val="20"/>
          <w:szCs w:val="20"/>
        </w:rPr>
        <w:t>эскроу</w:t>
      </w:r>
      <w:proofErr w:type="spellEnd"/>
      <w:r>
        <w:rPr>
          <w:rFonts w:ascii="Arial" w:hAnsi="Arial" w:cs="Arial"/>
          <w:sz w:val="20"/>
          <w:szCs w:val="20"/>
        </w:rPr>
        <w:t>.</w:t>
      </w:r>
    </w:p>
    <w:p w:rsidR="0047545F" w:rsidRDefault="0047545F" w:rsidP="0047545F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8. В </w:t>
      </w:r>
      <w:hyperlink r:id="rId13" w:history="1">
        <w:r>
          <w:rPr>
            <w:rFonts w:ascii="Arial" w:hAnsi="Arial" w:cs="Arial"/>
            <w:color w:val="0000FF"/>
            <w:sz w:val="20"/>
            <w:szCs w:val="20"/>
          </w:rPr>
          <w:t>пункте 154</w:t>
        </w:r>
      </w:hyperlink>
      <w:r>
        <w:rPr>
          <w:rFonts w:ascii="Arial" w:hAnsi="Arial" w:cs="Arial"/>
          <w:sz w:val="20"/>
          <w:szCs w:val="20"/>
        </w:rPr>
        <w:t xml:space="preserve"> Методических рекомендаций обозначено, что уставный капитал зарубежных организаций необходимо устанавливать в соответствии с применимым правом (допускается использование данных из официальных источников в информационно-телекоммуникационной сети "Интернет").</w:t>
      </w:r>
    </w:p>
    <w:p w:rsidR="0047545F" w:rsidRDefault="0047545F" w:rsidP="0047545F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9. Определенны особенности представления информации об акциях, приобретенных на организованных торгах.</w:t>
      </w:r>
    </w:p>
    <w:p w:rsidR="0047545F" w:rsidRDefault="0047545F" w:rsidP="0047545F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10. Отмечено, что при наличии обстоятельств фьючерсный договор подлежит отражению.</w:t>
      </w:r>
    </w:p>
    <w:p w:rsidR="0047545F" w:rsidRDefault="0047545F" w:rsidP="0047545F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11. Актуализированы особенности представления информации о срочных обязательствах финансового характера, возникающих исходя из условий договора со страховщиком.</w:t>
      </w:r>
    </w:p>
    <w:p w:rsidR="0047545F" w:rsidRDefault="0047545F" w:rsidP="0047545F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12. Положения Методических </w:t>
      </w:r>
      <w:hyperlink r:id="rId14" w:history="1">
        <w:r>
          <w:rPr>
            <w:rFonts w:ascii="Arial" w:hAnsi="Arial" w:cs="Arial"/>
            <w:color w:val="0000FF"/>
            <w:sz w:val="20"/>
            <w:szCs w:val="20"/>
          </w:rPr>
          <w:t>рекомендаций</w:t>
        </w:r>
      </w:hyperlink>
      <w:r>
        <w:rPr>
          <w:rFonts w:ascii="Arial" w:hAnsi="Arial" w:cs="Arial"/>
          <w:sz w:val="20"/>
          <w:szCs w:val="20"/>
        </w:rPr>
        <w:t xml:space="preserve"> в целом актуализированы с учетом изменений нормативных правовых актов Российской Федерации.</w:t>
      </w:r>
    </w:p>
    <w:p w:rsidR="00CD331C" w:rsidRDefault="00CD331C">
      <w:bookmarkStart w:id="0" w:name="_GoBack"/>
      <w:bookmarkEnd w:id="0"/>
    </w:p>
    <w:sectPr w:rsidR="00CD331C" w:rsidSect="002E0575">
      <w:pgSz w:w="11906" w:h="16838"/>
      <w:pgMar w:top="1440" w:right="566" w:bottom="1440" w:left="1133" w:header="0" w:footer="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47545F"/>
    <w:rsid w:val="00314359"/>
    <w:rsid w:val="0047545F"/>
    <w:rsid w:val="005749B8"/>
    <w:rsid w:val="007C093D"/>
    <w:rsid w:val="009715B1"/>
    <w:rsid w:val="00CD331C"/>
    <w:rsid w:val="00CE3E73"/>
    <w:rsid w:val="00D3716C"/>
    <w:rsid w:val="00E30FA8"/>
    <w:rsid w:val="00F6161B"/>
    <w:rsid w:val="00FE2E1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49B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62F80C91FC2ECDD468B61FEE72063CAB011A3E068FE83D4AB8EAF56C01B7BABB48C40EC4E7FEC75AA407301B9AA838A60055BCCA633A821365k8D" TargetMode="External"/><Relationship Id="rId13" Type="http://schemas.openxmlformats.org/officeDocument/2006/relationships/hyperlink" Target="consultantplus://offline/ref=62F80C91FC2ECDD468B61FEE72063CAB011A3E068FE83D4AB8EAF56C01B7BABB48C40EC4E7FEC25DAD07301B9AA838A60055BCCA633A821365k8D" TargetMode="Externa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62F80C91FC2ECDD468B61FEE72063CAB011A3E068FE83D4AB8EAF56C01B7BABB5AC456C8E6FAD95CA712664ADC6FkFD" TargetMode="External"/><Relationship Id="rId12" Type="http://schemas.openxmlformats.org/officeDocument/2006/relationships/hyperlink" Target="consultantplus://offline/ref=62F80C91FC2ECDD468B61FEE72063CAB061D3A0A83EC3D4AB8EAF56C01B7BABB5AC456C8E6FAD95CA712664ADC6FkFD" TargetMode="External"/><Relationship Id="rId17" Type="http://schemas.microsoft.com/office/2007/relationships/stylesWithEffects" Target="stylesWithEffects.xm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62F80C91FC2ECDD468B61FEE72063CAB011A3E068FE83D4AB8EAF56C01B7BABB5AC456C8E6FAD95CA712664ADC6FkFD" TargetMode="External"/><Relationship Id="rId11" Type="http://schemas.openxmlformats.org/officeDocument/2006/relationships/hyperlink" Target="consultantplus://offline/ref=62F80C91FC2ECDD468B61FEE72063CAB011A3E068FE83D4AB8EAF56C01B7BABB5AC456C8E6FAD95CA712664ADC6FkFD" TargetMode="External"/><Relationship Id="rId5" Type="http://schemas.openxmlformats.org/officeDocument/2006/relationships/hyperlink" Target="consultantplus://offline/ref=62F80C91FC2ECDD468B61FEE72063CAB011A3E068FE83D4AB8EAF56C01B7BABB5AC456C8E6FAD95CA712664ADC6FkFD" TargetMode="External"/><Relationship Id="rId15" Type="http://schemas.openxmlformats.org/officeDocument/2006/relationships/fontTable" Target="fontTable.xml"/><Relationship Id="rId10" Type="http://schemas.openxmlformats.org/officeDocument/2006/relationships/hyperlink" Target="consultantplus://offline/ref=62F80C91FC2ECDD468B61FEE72063CAB0612330786EE3D4AB8EAF56C01B7BABB48C40EC4E7FEC75EAD07301B9AA838A60055BCCA633A821365k8D" TargetMode="External"/><Relationship Id="rId4" Type="http://schemas.openxmlformats.org/officeDocument/2006/relationships/hyperlink" Target="consultantplus://offline/ref=62F80C91FC2ECDD468B61FEE72063CAB011A3E068FE83D4AB8EAF56C01B7BABB5AC456C8E6FAD95CA712664ADC6FkFD" TargetMode="External"/><Relationship Id="rId9" Type="http://schemas.openxmlformats.org/officeDocument/2006/relationships/hyperlink" Target="consultantplus://offline/ref=62F80C91FC2ECDD468B61FEE72063CAB011A3E068FE83D4AB8EAF56C01B7BABB5AC456C8E6FAD95CA712664ADC6FkFD" TargetMode="External"/><Relationship Id="rId14" Type="http://schemas.openxmlformats.org/officeDocument/2006/relationships/hyperlink" Target="consultantplus://offline/ref=62F80C91FC2ECDD468B61FEE72063CAB011A3E068FE83D4AB8EAF56C01B7BABB5AC456C8E6FAD95CA712664ADC6FkFD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851</Words>
  <Characters>4855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Jur5</dc:creator>
  <cp:lastModifiedBy>user</cp:lastModifiedBy>
  <cp:revision>2</cp:revision>
  <dcterms:created xsi:type="dcterms:W3CDTF">2022-09-12T02:41:00Z</dcterms:created>
  <dcterms:modified xsi:type="dcterms:W3CDTF">2022-09-12T02:41:00Z</dcterms:modified>
</cp:coreProperties>
</file>